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C5" w:rsidRDefault="007C0833" w:rsidP="009A0373">
      <w:pPr>
        <w:spacing w:after="0" w:line="240" w:lineRule="auto"/>
        <w:ind w:right="-180"/>
        <w:jc w:val="center"/>
      </w:pPr>
      <w:r>
        <w:rPr>
          <w:rFonts w:ascii="Verdana" w:hAnsi="Verdana"/>
          <w:noProof/>
          <w:color w:val="676767"/>
          <w:sz w:val="16"/>
          <w:szCs w:val="16"/>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771525" cy="771525"/>
            <wp:effectExtent l="0" t="0" r="9525" b="9525"/>
            <wp:wrapSquare wrapText="left"/>
            <wp:docPr id="5" name="webImgShrink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w="9525">
                      <a:noFill/>
                      <a:miter lim="800000"/>
                      <a:headEnd/>
                      <a:tailEnd/>
                    </a:ln>
                  </pic:spPr>
                </pic:pic>
              </a:graphicData>
            </a:graphic>
          </wp:anchor>
        </w:drawing>
      </w:r>
      <w:r w:rsidR="009A0373">
        <w:rPr>
          <w:rFonts w:ascii="Verdana" w:hAnsi="Verdana"/>
          <w:noProof/>
          <w:color w:val="676767"/>
          <w:sz w:val="16"/>
          <w:szCs w:val="16"/>
        </w:rPr>
        <w:drawing>
          <wp:anchor distT="0" distB="0" distL="114300" distR="114300" simplePos="0" relativeHeight="251658240" behindDoc="0" locked="0" layoutInCell="1" allowOverlap="1">
            <wp:simplePos x="0" y="0"/>
            <wp:positionH relativeFrom="column">
              <wp:posOffset>-57150</wp:posOffset>
            </wp:positionH>
            <wp:positionV relativeFrom="margin">
              <wp:align>top</wp:align>
            </wp:positionV>
            <wp:extent cx="809625" cy="809625"/>
            <wp:effectExtent l="19050" t="0" r="9525" b="0"/>
            <wp:wrapSquare wrapText="right"/>
            <wp:docPr id="2" name="Picture 2" descr="https://intranet.fbinet.fbi/DO/OPA/SealsLogos/_t/__FBIse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fbinet.fbi/DO/OPA/SealsLogos/_t/__FBIseal_jpg.jpg"/>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00116AB8">
        <w:tab/>
      </w:r>
    </w:p>
    <w:p w:rsidR="00B46A0A" w:rsidRPr="0030599F" w:rsidRDefault="00B46A0A" w:rsidP="00AF5506">
      <w:pPr>
        <w:spacing w:after="0" w:line="240" w:lineRule="auto"/>
        <w:ind w:right="-180"/>
        <w:jc w:val="center"/>
        <w:rPr>
          <w:rFonts w:ascii="Copperplate Gothic Light" w:hAnsi="Copperplate Gothic Light"/>
          <w:b/>
          <w:color w:val="4F81BD" w:themeColor="accent1"/>
          <w:sz w:val="32"/>
          <w:szCs w:val="32"/>
        </w:rPr>
      </w:pPr>
      <w:r w:rsidRPr="0030599F">
        <w:rPr>
          <w:rFonts w:ascii="Copperplate Gothic Light" w:hAnsi="Copperplate Gothic Light"/>
          <w:b/>
          <w:color w:val="4F81BD" w:themeColor="accent1"/>
          <w:sz w:val="32"/>
          <w:szCs w:val="32"/>
        </w:rPr>
        <w:t>Electronic</w:t>
      </w:r>
      <w:r w:rsidR="00F51D0B" w:rsidRPr="0030599F">
        <w:rPr>
          <w:rFonts w:ascii="Copperplate Gothic Light" w:hAnsi="Copperplate Gothic Light"/>
          <w:b/>
          <w:color w:val="4F81BD" w:themeColor="accent1"/>
          <w:sz w:val="32"/>
          <w:szCs w:val="32"/>
        </w:rPr>
        <w:t>s</w:t>
      </w:r>
      <w:r w:rsidRPr="0030599F">
        <w:rPr>
          <w:rFonts w:ascii="Copperplate Gothic Light" w:hAnsi="Copperplate Gothic Light"/>
          <w:b/>
          <w:color w:val="4F81BD" w:themeColor="accent1"/>
          <w:sz w:val="32"/>
          <w:szCs w:val="32"/>
        </w:rPr>
        <w:t xml:space="preserve"> Technician</w:t>
      </w:r>
      <w:r w:rsidR="00F51D0B" w:rsidRPr="0030599F">
        <w:rPr>
          <w:rFonts w:ascii="Copperplate Gothic Light" w:hAnsi="Copperplate Gothic Light"/>
          <w:b/>
          <w:color w:val="4F81BD" w:themeColor="accent1"/>
          <w:sz w:val="32"/>
          <w:szCs w:val="32"/>
        </w:rPr>
        <w:t xml:space="preserve"> (ET)</w:t>
      </w:r>
    </w:p>
    <w:p w:rsidR="00F51D0B" w:rsidRPr="0030599F" w:rsidRDefault="00F51D0B" w:rsidP="00AF5506">
      <w:pPr>
        <w:spacing w:after="0" w:line="240" w:lineRule="auto"/>
        <w:ind w:right="-180"/>
        <w:jc w:val="center"/>
        <w:rPr>
          <w:rFonts w:ascii="Copperplate Gothic Bold" w:hAnsi="Copperplate Gothic Bold"/>
          <w:b/>
          <w:color w:val="4F81BD" w:themeColor="accent1"/>
          <w:sz w:val="32"/>
          <w:szCs w:val="32"/>
        </w:rPr>
      </w:pPr>
      <w:r w:rsidRPr="0030599F">
        <w:rPr>
          <w:rFonts w:ascii="Copperplate Gothic Light" w:hAnsi="Copperplate Gothic Light"/>
          <w:b/>
          <w:color w:val="4F81BD" w:themeColor="accent1"/>
          <w:sz w:val="32"/>
          <w:szCs w:val="32"/>
        </w:rPr>
        <w:t>(Operating in FBI Field Offices)</w:t>
      </w:r>
    </w:p>
    <w:p w:rsidR="009A0373" w:rsidRDefault="009A0373" w:rsidP="00A142C8">
      <w:pPr>
        <w:spacing w:after="0" w:line="240" w:lineRule="auto"/>
        <w:ind w:right="-180"/>
        <w:rPr>
          <w:rFonts w:ascii="Copperplate Gothic Light" w:hAnsi="Copperplate Gothic Light"/>
          <w:b/>
          <w:color w:val="4F81BD" w:themeColor="accent1"/>
        </w:rPr>
      </w:pPr>
    </w:p>
    <w:p w:rsidR="009A0373" w:rsidRDefault="009A0373" w:rsidP="00A142C8">
      <w:pPr>
        <w:spacing w:after="0" w:line="240" w:lineRule="auto"/>
        <w:ind w:right="-180"/>
        <w:rPr>
          <w:rFonts w:ascii="Copperplate Gothic Light" w:hAnsi="Copperplate Gothic Light"/>
          <w:b/>
          <w:color w:val="4F81BD" w:themeColor="accent1"/>
        </w:rPr>
      </w:pPr>
    </w:p>
    <w:p w:rsidR="00B74AC4" w:rsidRDefault="00B74AC4" w:rsidP="00B74AC4">
      <w:pPr>
        <w:spacing w:after="0" w:line="240" w:lineRule="auto"/>
        <w:ind w:right="-180"/>
        <w:rPr>
          <w:rFonts w:ascii="Copperplate Gothic Light" w:hAnsi="Copperplate Gothic Light"/>
          <w:b/>
          <w:color w:val="4F81BD" w:themeColor="accent1"/>
          <w:sz w:val="24"/>
          <w:szCs w:val="24"/>
        </w:rPr>
      </w:pPr>
      <w:r w:rsidRPr="0030599F">
        <w:rPr>
          <w:rFonts w:ascii="Copperplate Gothic Light" w:hAnsi="Copperplate Gothic Light"/>
          <w:b/>
          <w:color w:val="4F81BD" w:themeColor="accent1"/>
          <w:sz w:val="24"/>
          <w:szCs w:val="24"/>
        </w:rPr>
        <w:t xml:space="preserve">Position </w:t>
      </w:r>
    </w:p>
    <w:p w:rsidR="00B74AC4" w:rsidRPr="00B74AC4" w:rsidRDefault="00B74AC4" w:rsidP="00B74AC4">
      <w:pPr>
        <w:spacing w:after="0" w:line="240" w:lineRule="auto"/>
        <w:ind w:right="-180"/>
        <w:rPr>
          <w:rFonts w:cs="Tahoma"/>
        </w:rPr>
      </w:pPr>
      <w:r w:rsidRPr="00B74AC4">
        <w:rPr>
          <w:rFonts w:cs="Tahoma"/>
        </w:rPr>
        <w:t>Electronics Technician (ET) 0856 Series Position Description</w:t>
      </w:r>
    </w:p>
    <w:p w:rsidR="00B74AC4" w:rsidRDefault="00B74AC4" w:rsidP="00B74AC4">
      <w:pPr>
        <w:spacing w:after="0" w:line="240" w:lineRule="auto"/>
        <w:ind w:right="-180"/>
        <w:rPr>
          <w:rFonts w:ascii="Copperplate Gothic Light" w:hAnsi="Copperplate Gothic Light"/>
          <w:b/>
          <w:color w:val="4F81BD" w:themeColor="accent1"/>
          <w:sz w:val="24"/>
          <w:szCs w:val="24"/>
        </w:rPr>
      </w:pPr>
    </w:p>
    <w:p w:rsidR="00B74AC4" w:rsidRDefault="00B74AC4" w:rsidP="00B74AC4">
      <w:pPr>
        <w:spacing w:after="0" w:line="240" w:lineRule="auto"/>
        <w:ind w:right="-180"/>
        <w:rPr>
          <w:rFonts w:ascii="Copperplate Gothic Light" w:hAnsi="Copperplate Gothic Light"/>
          <w:b/>
          <w:color w:val="4F81BD" w:themeColor="accent1"/>
          <w:sz w:val="24"/>
          <w:szCs w:val="24"/>
        </w:rPr>
      </w:pPr>
      <w:r w:rsidRPr="0030599F">
        <w:rPr>
          <w:rFonts w:ascii="Copperplate Gothic Light" w:hAnsi="Copperplate Gothic Light"/>
          <w:b/>
          <w:color w:val="4F81BD" w:themeColor="accent1"/>
          <w:sz w:val="24"/>
          <w:szCs w:val="24"/>
        </w:rPr>
        <w:t>Position Responsibilities</w:t>
      </w:r>
    </w:p>
    <w:p w:rsidR="00B74AC4" w:rsidRDefault="00B74AC4" w:rsidP="00B74AC4">
      <w:pPr>
        <w:spacing w:after="0" w:line="240" w:lineRule="auto"/>
        <w:ind w:right="-187"/>
        <w:rPr>
          <w:lang w:val="en-CA"/>
        </w:rPr>
      </w:pPr>
      <w:r w:rsidRPr="0030599F">
        <w:rPr>
          <w:lang w:val="en-CA"/>
        </w:rPr>
        <w:t>FBI field ETs install and maintain the land mobile radio (LMR) systems, data network systems, facilities and electronic security systems within all 56 FBI field offices.  In addition, the ETs support the LMR for all DOJ law enforcement agencies, DEA, USMS, and ATFE.  ETs also handle the interoperability requirements with state and local law enforcement.  Interested individuals should possess a solid understanding of electronic theory.  Additionally, individuals should have a basic knowledge of data networks, RF theory, and electronic troubleshooting skills.  The ET position requires TS-SCI clearance, fit for duty (FFD) physical, and a mobility agreement.</w:t>
      </w:r>
    </w:p>
    <w:p w:rsidR="00B74AC4" w:rsidRPr="0030599F" w:rsidRDefault="00B74AC4" w:rsidP="00B74AC4">
      <w:pPr>
        <w:spacing w:after="0" w:line="240" w:lineRule="auto"/>
        <w:ind w:left="360" w:right="-180"/>
        <w:rPr>
          <w:lang w:val="en-CA"/>
        </w:rPr>
      </w:pPr>
      <w:r w:rsidRPr="0030599F">
        <w:rPr>
          <w:lang w:val="en-CA"/>
        </w:rPr>
        <w:t>The FBI ET Program is divi</w:t>
      </w:r>
      <w:bookmarkStart w:id="0" w:name="_GoBack"/>
      <w:bookmarkEnd w:id="0"/>
      <w:r w:rsidRPr="0030599F">
        <w:rPr>
          <w:lang w:val="en-CA"/>
        </w:rPr>
        <w:t>ded into the following major disciplines:</w:t>
      </w:r>
    </w:p>
    <w:p w:rsidR="00B74AC4" w:rsidRPr="0030599F" w:rsidRDefault="00B74AC4" w:rsidP="00B74AC4">
      <w:pPr>
        <w:pStyle w:val="ListParagraph"/>
        <w:numPr>
          <w:ilvl w:val="0"/>
          <w:numId w:val="15"/>
        </w:numPr>
        <w:spacing w:after="0" w:line="240" w:lineRule="auto"/>
        <w:ind w:right="-180"/>
        <w:rPr>
          <w:lang w:val="en-CA"/>
        </w:rPr>
      </w:pPr>
      <w:r w:rsidRPr="0030599F">
        <w:rPr>
          <w:lang w:val="en-CA"/>
        </w:rPr>
        <w:t>RF Systems</w:t>
      </w:r>
    </w:p>
    <w:p w:rsidR="00B74AC4" w:rsidRPr="0030599F" w:rsidRDefault="00B74AC4" w:rsidP="00B74AC4">
      <w:pPr>
        <w:pStyle w:val="ListParagraph"/>
        <w:numPr>
          <w:ilvl w:val="0"/>
          <w:numId w:val="15"/>
        </w:numPr>
        <w:spacing w:after="0" w:line="240" w:lineRule="auto"/>
        <w:ind w:right="-180"/>
        <w:rPr>
          <w:lang w:val="en-CA"/>
        </w:rPr>
      </w:pPr>
      <w:r w:rsidRPr="0030599F">
        <w:rPr>
          <w:lang w:val="en-CA"/>
        </w:rPr>
        <w:t>Alarm Systems</w:t>
      </w:r>
    </w:p>
    <w:p w:rsidR="00B74AC4" w:rsidRPr="0030599F" w:rsidRDefault="00B74AC4" w:rsidP="00B74AC4">
      <w:pPr>
        <w:pStyle w:val="ListParagraph"/>
        <w:numPr>
          <w:ilvl w:val="0"/>
          <w:numId w:val="15"/>
        </w:numPr>
        <w:spacing w:after="0" w:line="240" w:lineRule="auto"/>
        <w:ind w:right="-180"/>
        <w:rPr>
          <w:lang w:val="en-CA"/>
        </w:rPr>
      </w:pPr>
      <w:r w:rsidRPr="0030599F">
        <w:rPr>
          <w:lang w:val="en-CA"/>
        </w:rPr>
        <w:t>Access Control Systems</w:t>
      </w:r>
    </w:p>
    <w:p w:rsidR="00B74AC4" w:rsidRPr="0030599F" w:rsidRDefault="00B74AC4" w:rsidP="00B74AC4">
      <w:pPr>
        <w:pStyle w:val="ListParagraph"/>
        <w:numPr>
          <w:ilvl w:val="0"/>
          <w:numId w:val="15"/>
        </w:numPr>
        <w:spacing w:after="0" w:line="240" w:lineRule="auto"/>
        <w:ind w:right="-180"/>
        <w:rPr>
          <w:lang w:val="en-CA"/>
        </w:rPr>
      </w:pPr>
      <w:r w:rsidRPr="0030599F">
        <w:rPr>
          <w:lang w:val="en-CA"/>
        </w:rPr>
        <w:t>Video Security Systems</w:t>
      </w:r>
    </w:p>
    <w:p w:rsidR="00B74AC4" w:rsidRPr="0030599F" w:rsidRDefault="00B74AC4" w:rsidP="00B74AC4">
      <w:pPr>
        <w:pStyle w:val="ListParagraph"/>
        <w:numPr>
          <w:ilvl w:val="0"/>
          <w:numId w:val="15"/>
        </w:numPr>
        <w:spacing w:after="0" w:line="240" w:lineRule="auto"/>
        <w:ind w:right="-180"/>
        <w:rPr>
          <w:lang w:val="en-CA"/>
        </w:rPr>
      </w:pPr>
      <w:r w:rsidRPr="0030599F">
        <w:rPr>
          <w:lang w:val="en-CA"/>
        </w:rPr>
        <w:t>Data Networks</w:t>
      </w:r>
    </w:p>
    <w:p w:rsidR="00B74AC4" w:rsidRPr="0030599F" w:rsidRDefault="00B74AC4" w:rsidP="00B74AC4">
      <w:pPr>
        <w:pStyle w:val="ListParagraph"/>
        <w:numPr>
          <w:ilvl w:val="0"/>
          <w:numId w:val="15"/>
        </w:numPr>
        <w:spacing w:after="0" w:line="240" w:lineRule="auto"/>
        <w:ind w:right="-180"/>
        <w:rPr>
          <w:lang w:val="en-CA"/>
        </w:rPr>
      </w:pPr>
      <w:r w:rsidRPr="0030599F">
        <w:rPr>
          <w:lang w:val="en-CA"/>
        </w:rPr>
        <w:t>Tactical Programs</w:t>
      </w:r>
    </w:p>
    <w:p w:rsidR="00B74AC4" w:rsidRPr="0030599F" w:rsidRDefault="00B74AC4" w:rsidP="00B74AC4">
      <w:pPr>
        <w:spacing w:after="0" w:line="240" w:lineRule="auto"/>
        <w:ind w:right="-180"/>
        <w:rPr>
          <w:rFonts w:ascii="Copperplate Gothic Light" w:hAnsi="Copperplate Gothic Light"/>
          <w:b/>
          <w:color w:val="4F81BD" w:themeColor="accent1"/>
          <w:sz w:val="20"/>
          <w:szCs w:val="20"/>
        </w:rPr>
      </w:pPr>
    </w:p>
    <w:p w:rsidR="00B74AC4" w:rsidRPr="0030599F" w:rsidRDefault="00B74AC4" w:rsidP="00B74AC4">
      <w:pPr>
        <w:spacing w:after="0" w:line="240" w:lineRule="auto"/>
        <w:ind w:right="-180"/>
        <w:rPr>
          <w:rFonts w:ascii="Copperplate Gothic Light" w:hAnsi="Copperplate Gothic Light"/>
          <w:b/>
          <w:color w:val="4F81BD" w:themeColor="accent1"/>
          <w:sz w:val="24"/>
          <w:szCs w:val="24"/>
        </w:rPr>
      </w:pPr>
      <w:r w:rsidRPr="0030599F">
        <w:rPr>
          <w:rFonts w:ascii="Copperplate Gothic Light" w:hAnsi="Copperplate Gothic Light"/>
          <w:b/>
          <w:color w:val="4F81BD" w:themeColor="accent1"/>
          <w:sz w:val="24"/>
          <w:szCs w:val="24"/>
        </w:rPr>
        <w:t>Required Qualifications</w:t>
      </w:r>
    </w:p>
    <w:p w:rsidR="00B74AC4" w:rsidRPr="0030599F" w:rsidRDefault="00B74AC4" w:rsidP="00B74AC4">
      <w:pPr>
        <w:spacing w:after="0" w:line="240" w:lineRule="auto"/>
        <w:ind w:right="-187"/>
        <w:rPr>
          <w:lang w:val="en-CA"/>
        </w:rPr>
      </w:pPr>
      <w:r w:rsidRPr="0030599F">
        <w:rPr>
          <w:rFonts w:cs="Times New Roman"/>
          <w:color w:val="000000" w:themeColor="text1"/>
        </w:rPr>
        <w:t>Minimum qualifications are basic electronics theory and knowledge either through experience or training.  Grade levels are determined by the type of experience/training.  GS-7 requires at least an Associate’s degree or equivalent specialized experience.  This position covers performing work involving applying: Knowledge of the techniques and theories characteristics of electronics, such as knowledge of basic electricity and electronic theory, algebra, and elementary physics; knowledge of electronic equipment design, development, evaluation, testing, installation, and maintenance; and knowledge of the capabilities, limitations, operations, design, characteristics, and functional use of a variety of types and models of electronic equipment and systems related to, but less than, a full professional knowledge of electronic engineering.</w:t>
      </w:r>
    </w:p>
    <w:p w:rsidR="00B74AC4" w:rsidRPr="0030599F" w:rsidRDefault="00B74AC4" w:rsidP="00B74AC4">
      <w:pPr>
        <w:spacing w:after="0" w:line="240" w:lineRule="auto"/>
        <w:ind w:left="360" w:right="-180"/>
        <w:rPr>
          <w:lang w:val="en-CA"/>
        </w:rPr>
      </w:pPr>
      <w:r w:rsidRPr="0030599F">
        <w:rPr>
          <w:lang w:val="en-CA"/>
        </w:rPr>
        <w:t xml:space="preserve">The FBI ET </w:t>
      </w:r>
      <w:r>
        <w:rPr>
          <w:lang w:val="en-CA"/>
        </w:rPr>
        <w:t>Position requirements include</w:t>
      </w:r>
      <w:r w:rsidRPr="0030599F">
        <w:rPr>
          <w:lang w:val="en-CA"/>
        </w:rPr>
        <w:t>:</w:t>
      </w:r>
    </w:p>
    <w:p w:rsidR="00B74AC4" w:rsidRDefault="00B74AC4" w:rsidP="00B74AC4">
      <w:pPr>
        <w:pStyle w:val="ListParagraph"/>
        <w:numPr>
          <w:ilvl w:val="0"/>
          <w:numId w:val="15"/>
        </w:numPr>
        <w:spacing w:after="0" w:line="240" w:lineRule="auto"/>
        <w:ind w:right="-180"/>
        <w:rPr>
          <w:lang w:val="en-CA"/>
        </w:rPr>
      </w:pPr>
      <w:r>
        <w:rPr>
          <w:lang w:val="en-CA"/>
        </w:rPr>
        <w:t>P</w:t>
      </w:r>
      <w:r w:rsidRPr="00B74AC4">
        <w:rPr>
          <w:lang w:val="en-CA"/>
        </w:rPr>
        <w:t>ossess</w:t>
      </w:r>
      <w:r>
        <w:rPr>
          <w:lang w:val="en-CA"/>
        </w:rPr>
        <w:t xml:space="preserve">ion of </w:t>
      </w:r>
      <w:r w:rsidRPr="00B74AC4">
        <w:rPr>
          <w:lang w:val="en-CA"/>
        </w:rPr>
        <w:t>a valid driver's license</w:t>
      </w:r>
    </w:p>
    <w:p w:rsidR="00B74AC4" w:rsidRDefault="00B74AC4" w:rsidP="00B74AC4">
      <w:pPr>
        <w:pStyle w:val="ListParagraph"/>
        <w:numPr>
          <w:ilvl w:val="0"/>
          <w:numId w:val="15"/>
        </w:numPr>
        <w:spacing w:after="0" w:line="240" w:lineRule="auto"/>
        <w:ind w:right="-180"/>
        <w:rPr>
          <w:lang w:val="en-CA"/>
        </w:rPr>
      </w:pPr>
      <w:r w:rsidRPr="00B74AC4">
        <w:rPr>
          <w:lang w:val="en-CA"/>
        </w:rPr>
        <w:t xml:space="preserve">Physical Demands: </w:t>
      </w:r>
    </w:p>
    <w:p w:rsidR="00B74AC4" w:rsidRDefault="00B74AC4" w:rsidP="00B74AC4">
      <w:pPr>
        <w:pStyle w:val="ListParagraph"/>
        <w:numPr>
          <w:ilvl w:val="1"/>
          <w:numId w:val="15"/>
        </w:numPr>
        <w:spacing w:after="0" w:line="240" w:lineRule="auto"/>
        <w:ind w:right="-180"/>
        <w:rPr>
          <w:lang w:val="en-CA"/>
        </w:rPr>
      </w:pPr>
      <w:r>
        <w:rPr>
          <w:lang w:val="en-CA"/>
        </w:rPr>
        <w:t>C</w:t>
      </w:r>
      <w:r w:rsidRPr="00B74AC4">
        <w:rPr>
          <w:lang w:val="en-CA"/>
        </w:rPr>
        <w:t>limbing towers</w:t>
      </w:r>
    </w:p>
    <w:p w:rsidR="00B74AC4" w:rsidRDefault="00B74AC4" w:rsidP="00B74AC4">
      <w:pPr>
        <w:pStyle w:val="ListParagraph"/>
        <w:numPr>
          <w:ilvl w:val="1"/>
          <w:numId w:val="15"/>
        </w:numPr>
        <w:spacing w:after="0" w:line="240" w:lineRule="auto"/>
        <w:ind w:right="-180"/>
        <w:rPr>
          <w:lang w:val="en-CA"/>
        </w:rPr>
      </w:pPr>
      <w:r>
        <w:rPr>
          <w:lang w:val="en-CA"/>
        </w:rPr>
        <w:t>L</w:t>
      </w:r>
      <w:r w:rsidRPr="00B74AC4">
        <w:rPr>
          <w:lang w:val="en-CA"/>
        </w:rPr>
        <w:t>ifting heavy objects in excess of 50 pounds</w:t>
      </w:r>
    </w:p>
    <w:p w:rsidR="00B74AC4" w:rsidRDefault="00B74AC4" w:rsidP="00B74AC4">
      <w:pPr>
        <w:pStyle w:val="ListParagraph"/>
        <w:numPr>
          <w:ilvl w:val="1"/>
          <w:numId w:val="15"/>
        </w:numPr>
        <w:spacing w:after="0" w:line="240" w:lineRule="auto"/>
        <w:ind w:right="-180"/>
        <w:rPr>
          <w:lang w:val="en-CA"/>
        </w:rPr>
      </w:pPr>
      <w:r>
        <w:rPr>
          <w:lang w:val="en-CA"/>
        </w:rPr>
        <w:t>Cr</w:t>
      </w:r>
      <w:r w:rsidRPr="00B74AC4">
        <w:rPr>
          <w:lang w:val="en-CA"/>
        </w:rPr>
        <w:t xml:space="preserve">ouching </w:t>
      </w:r>
      <w:r>
        <w:rPr>
          <w:lang w:val="en-CA"/>
        </w:rPr>
        <w:t>or crawling in small work areas</w:t>
      </w:r>
    </w:p>
    <w:p w:rsidR="00B74AC4" w:rsidRPr="00B74AC4" w:rsidRDefault="00B74AC4" w:rsidP="00B74AC4">
      <w:pPr>
        <w:pStyle w:val="ListParagraph"/>
        <w:numPr>
          <w:ilvl w:val="1"/>
          <w:numId w:val="15"/>
        </w:numPr>
        <w:spacing w:after="0" w:line="240" w:lineRule="auto"/>
        <w:ind w:right="-180"/>
        <w:rPr>
          <w:lang w:val="en-CA"/>
        </w:rPr>
      </w:pPr>
      <w:r>
        <w:rPr>
          <w:lang w:val="en-CA"/>
        </w:rPr>
        <w:t>I</w:t>
      </w:r>
      <w:r w:rsidRPr="00B74AC4">
        <w:rPr>
          <w:lang w:val="en-CA"/>
        </w:rPr>
        <w:t>nclement weather conditions (rain, snow, ice, and high winds)</w:t>
      </w:r>
    </w:p>
    <w:p w:rsidR="00B74AC4" w:rsidRDefault="00B74AC4" w:rsidP="00B74AC4">
      <w:pPr>
        <w:spacing w:after="0" w:line="240" w:lineRule="auto"/>
        <w:ind w:right="-180"/>
        <w:rPr>
          <w:rFonts w:ascii="Copperplate Gothic Light" w:hAnsi="Copperplate Gothic Light"/>
          <w:b/>
          <w:color w:val="4F81BD" w:themeColor="accent1"/>
          <w:sz w:val="24"/>
          <w:szCs w:val="24"/>
        </w:rPr>
      </w:pPr>
    </w:p>
    <w:p w:rsidR="00B74AC4" w:rsidRPr="0030599F" w:rsidRDefault="00B74AC4" w:rsidP="00B74AC4">
      <w:pPr>
        <w:spacing w:after="0" w:line="240" w:lineRule="auto"/>
        <w:ind w:right="-187"/>
        <w:rPr>
          <w:rFonts w:ascii="Copperplate Gothic Light" w:hAnsi="Copperplate Gothic Light"/>
          <w:b/>
          <w:color w:val="4F81BD" w:themeColor="accent1"/>
          <w:sz w:val="24"/>
          <w:szCs w:val="24"/>
        </w:rPr>
      </w:pPr>
      <w:r w:rsidRPr="0030599F">
        <w:rPr>
          <w:rFonts w:ascii="Copperplate Gothic Light" w:hAnsi="Copperplate Gothic Light"/>
          <w:b/>
          <w:color w:val="4F81BD" w:themeColor="accent1"/>
          <w:sz w:val="24"/>
          <w:szCs w:val="24"/>
        </w:rPr>
        <w:t>Career Ladder</w:t>
      </w:r>
    </w:p>
    <w:p w:rsidR="00B74AC4" w:rsidRDefault="00B74AC4" w:rsidP="00B74AC4">
      <w:pPr>
        <w:spacing w:after="0" w:line="240" w:lineRule="auto"/>
        <w:ind w:right="-180"/>
        <w:rPr>
          <w:rFonts w:cs="Times New Roman"/>
          <w:color w:val="000000" w:themeColor="text1"/>
        </w:rPr>
      </w:pPr>
      <w:r w:rsidRPr="0030599F">
        <w:rPr>
          <w:rFonts w:cs="Times New Roman"/>
          <w:color w:val="000000" w:themeColor="text1"/>
        </w:rPr>
        <w:t>Field ET’s = GS-5, GS-7, GS-9, GS-10, GS-11, GS-12</w:t>
      </w:r>
    </w:p>
    <w:p w:rsidR="00B74AC4" w:rsidRDefault="00B74AC4" w:rsidP="00B74AC4">
      <w:pPr>
        <w:spacing w:after="0" w:line="240" w:lineRule="auto"/>
        <w:ind w:right="-187"/>
        <w:rPr>
          <w:rFonts w:ascii="Copperplate Gothic Light" w:hAnsi="Copperplate Gothic Light"/>
          <w:b/>
          <w:color w:val="4F81BD" w:themeColor="accent1"/>
          <w:sz w:val="24"/>
          <w:szCs w:val="24"/>
        </w:rPr>
      </w:pPr>
    </w:p>
    <w:p w:rsidR="009A0373" w:rsidRPr="0030599F" w:rsidRDefault="009A0373" w:rsidP="009A0373">
      <w:pPr>
        <w:spacing w:after="0" w:line="240" w:lineRule="auto"/>
        <w:ind w:right="-180"/>
        <w:rPr>
          <w:rFonts w:ascii="Copperplate Gothic Light" w:hAnsi="Copperplate Gothic Light"/>
          <w:b/>
          <w:color w:val="4F81BD" w:themeColor="accent1"/>
          <w:sz w:val="24"/>
          <w:szCs w:val="24"/>
        </w:rPr>
      </w:pPr>
      <w:r w:rsidRPr="0030599F">
        <w:rPr>
          <w:rFonts w:ascii="Copperplate Gothic Light" w:hAnsi="Copperplate Gothic Light"/>
          <w:b/>
          <w:color w:val="4F81BD" w:themeColor="accent1"/>
          <w:sz w:val="24"/>
          <w:szCs w:val="24"/>
        </w:rPr>
        <w:t>Travel</w:t>
      </w:r>
    </w:p>
    <w:p w:rsidR="009A0373" w:rsidRPr="0030599F" w:rsidRDefault="009A0373" w:rsidP="009A0373">
      <w:pPr>
        <w:pStyle w:val="ListParagraph"/>
        <w:numPr>
          <w:ilvl w:val="0"/>
          <w:numId w:val="11"/>
        </w:numPr>
        <w:spacing w:after="0" w:line="240" w:lineRule="auto"/>
        <w:rPr>
          <w:rFonts w:cs="Times New Roman"/>
          <w:lang w:val="en-CA"/>
        </w:rPr>
      </w:pPr>
      <w:r w:rsidRPr="0030599F">
        <w:rPr>
          <w:rFonts w:cs="Times New Roman"/>
          <w:lang w:val="en-CA"/>
        </w:rPr>
        <w:t>From Field Office to Resident Agencies (RAs) and Off Sites</w:t>
      </w:r>
    </w:p>
    <w:p w:rsidR="009A0373" w:rsidRPr="0030599F" w:rsidRDefault="009A0373" w:rsidP="009A0373">
      <w:pPr>
        <w:pStyle w:val="ListParagraph"/>
        <w:numPr>
          <w:ilvl w:val="0"/>
          <w:numId w:val="11"/>
        </w:numPr>
        <w:spacing w:after="0" w:line="240" w:lineRule="auto"/>
        <w:rPr>
          <w:rFonts w:cs="Times New Roman"/>
          <w:lang w:val="en-CA"/>
        </w:rPr>
      </w:pPr>
      <w:r w:rsidRPr="0030599F">
        <w:rPr>
          <w:rFonts w:cs="Times New Roman"/>
          <w:lang w:val="en-CA"/>
        </w:rPr>
        <w:t>Training at Quantico, Regional locations, or vendors</w:t>
      </w:r>
    </w:p>
    <w:p w:rsidR="009A0373" w:rsidRPr="0030599F" w:rsidRDefault="009A0373" w:rsidP="009A0373">
      <w:pPr>
        <w:pStyle w:val="ListParagraph"/>
        <w:numPr>
          <w:ilvl w:val="0"/>
          <w:numId w:val="11"/>
        </w:numPr>
        <w:spacing w:after="0" w:line="240" w:lineRule="auto"/>
        <w:rPr>
          <w:rFonts w:cs="Times New Roman"/>
          <w:lang w:val="en-CA"/>
        </w:rPr>
      </w:pPr>
      <w:r w:rsidRPr="0030599F">
        <w:rPr>
          <w:rFonts w:cs="Times New Roman"/>
          <w:lang w:val="en-CA"/>
        </w:rPr>
        <w:t>TDY to assist with major field office projects, special events, and crisis situations</w:t>
      </w:r>
    </w:p>
    <w:p w:rsidR="009A0373" w:rsidRPr="0030599F" w:rsidRDefault="009A0373" w:rsidP="009A0373">
      <w:pPr>
        <w:pStyle w:val="ListParagraph"/>
        <w:numPr>
          <w:ilvl w:val="0"/>
          <w:numId w:val="11"/>
        </w:numPr>
        <w:spacing w:after="0" w:line="240" w:lineRule="auto"/>
        <w:rPr>
          <w:rFonts w:cs="Times New Roman"/>
          <w:lang w:val="en-CA"/>
        </w:rPr>
      </w:pPr>
      <w:r w:rsidRPr="0030599F">
        <w:rPr>
          <w:rFonts w:cs="Times New Roman"/>
          <w:lang w:val="en-CA"/>
        </w:rPr>
        <w:t xml:space="preserve">Specialty teams such as Technical Response Team or </w:t>
      </w:r>
      <w:proofErr w:type="spellStart"/>
      <w:r w:rsidRPr="0030599F">
        <w:rPr>
          <w:rFonts w:cs="Times New Roman"/>
          <w:lang w:val="en-CA"/>
        </w:rPr>
        <w:t>Legat</w:t>
      </w:r>
      <w:proofErr w:type="spellEnd"/>
      <w:r w:rsidRPr="0030599F">
        <w:rPr>
          <w:rFonts w:cs="Times New Roman"/>
          <w:lang w:val="en-CA"/>
        </w:rPr>
        <w:t xml:space="preserve"> Teams*</w:t>
      </w:r>
    </w:p>
    <w:p w:rsidR="009A0373" w:rsidRDefault="009A0373" w:rsidP="00B74AC4">
      <w:pPr>
        <w:tabs>
          <w:tab w:val="left" w:pos="8124"/>
        </w:tabs>
        <w:spacing w:after="0" w:line="240" w:lineRule="auto"/>
        <w:ind w:right="-180"/>
        <w:rPr>
          <w:rFonts w:cs="Times New Roman"/>
          <w:i/>
          <w:color w:val="000000" w:themeColor="text1"/>
          <w:sz w:val="20"/>
          <w:szCs w:val="20"/>
        </w:rPr>
      </w:pPr>
      <w:r w:rsidRPr="009A0373">
        <w:rPr>
          <w:rFonts w:cs="Times New Roman"/>
          <w:i/>
          <w:color w:val="000000" w:themeColor="text1"/>
          <w:sz w:val="20"/>
          <w:szCs w:val="20"/>
        </w:rPr>
        <w:t>*</w:t>
      </w:r>
      <w:r>
        <w:rPr>
          <w:rFonts w:cs="Times New Roman"/>
          <w:i/>
          <w:color w:val="000000" w:themeColor="text1"/>
          <w:sz w:val="20"/>
          <w:szCs w:val="20"/>
        </w:rPr>
        <w:t>Must be selected and approved by SAC to participate on specialty teams</w:t>
      </w:r>
      <w:r w:rsidRPr="009A0373">
        <w:rPr>
          <w:rFonts w:cs="Times New Roman"/>
          <w:i/>
          <w:color w:val="000000" w:themeColor="text1"/>
          <w:sz w:val="20"/>
          <w:szCs w:val="20"/>
        </w:rPr>
        <w:t>.</w:t>
      </w:r>
    </w:p>
    <w:sectPr w:rsidR="009A0373" w:rsidSect="0030599F">
      <w:footerReference w:type="default" r:id="rId11"/>
      <w:pgSz w:w="12240" w:h="15840"/>
      <w:pgMar w:top="720" w:right="1440" w:bottom="72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373" w:rsidRDefault="009A0373" w:rsidP="00A6563A">
      <w:pPr>
        <w:spacing w:after="0" w:line="240" w:lineRule="auto"/>
      </w:pPr>
      <w:r>
        <w:separator/>
      </w:r>
    </w:p>
  </w:endnote>
  <w:endnote w:type="continuationSeparator" w:id="0">
    <w:p w:rsidR="009A0373" w:rsidRDefault="009A0373" w:rsidP="00A6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73" w:rsidRPr="00D760C1" w:rsidRDefault="009A0373" w:rsidP="00A6563A">
    <w:pPr>
      <w:pStyle w:val="Footer"/>
      <w:jc w:val="right"/>
      <w:rPr>
        <w:i/>
        <w:color w:val="A6A6A6" w:themeColor="background1" w:themeShade="A6"/>
        <w:sz w:val="20"/>
        <w:szCs w:val="20"/>
      </w:rPr>
    </w:pPr>
    <w:r w:rsidRPr="00D760C1">
      <w:rPr>
        <w:i/>
        <w:color w:val="A6A6A6" w:themeColor="background1" w:themeShade="A6"/>
        <w:sz w:val="20"/>
        <w:szCs w:val="20"/>
      </w:rPr>
      <w:t>Last Revised:  0</w:t>
    </w:r>
    <w:r w:rsidR="00B74AC4">
      <w:rPr>
        <w:i/>
        <w:color w:val="A6A6A6" w:themeColor="background1" w:themeShade="A6"/>
        <w:sz w:val="20"/>
        <w:szCs w:val="20"/>
      </w:rPr>
      <w:t>2</w:t>
    </w:r>
    <w:r w:rsidRPr="00D760C1">
      <w:rPr>
        <w:i/>
        <w:color w:val="A6A6A6" w:themeColor="background1" w:themeShade="A6"/>
        <w:sz w:val="20"/>
        <w:szCs w:val="20"/>
      </w:rPr>
      <w:t>/</w:t>
    </w:r>
    <w:r w:rsidR="00B74AC4">
      <w:rPr>
        <w:i/>
        <w:color w:val="A6A6A6" w:themeColor="background1" w:themeShade="A6"/>
        <w:sz w:val="20"/>
        <w:szCs w:val="20"/>
      </w:rPr>
      <w:t>21</w:t>
    </w:r>
    <w:r w:rsidRPr="00D760C1">
      <w:rPr>
        <w:i/>
        <w:color w:val="A6A6A6" w:themeColor="background1" w:themeShade="A6"/>
        <w:sz w:val="20"/>
        <w:szCs w:val="20"/>
      </w:rPr>
      <w:t>/201</w:t>
    </w:r>
    <w:r w:rsidR="00B74AC4">
      <w:rPr>
        <w:i/>
        <w:color w:val="A6A6A6" w:themeColor="background1" w:themeShade="A6"/>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373" w:rsidRDefault="009A0373" w:rsidP="00A6563A">
      <w:pPr>
        <w:spacing w:after="0" w:line="240" w:lineRule="auto"/>
      </w:pPr>
      <w:r>
        <w:separator/>
      </w:r>
    </w:p>
  </w:footnote>
  <w:footnote w:type="continuationSeparator" w:id="0">
    <w:p w:rsidR="009A0373" w:rsidRDefault="009A0373" w:rsidP="00A65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A57"/>
    <w:multiLevelType w:val="multilevel"/>
    <w:tmpl w:val="B43E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37A71"/>
    <w:multiLevelType w:val="hybridMultilevel"/>
    <w:tmpl w:val="314CA4F8"/>
    <w:lvl w:ilvl="0" w:tplc="0409000B">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D57E8"/>
    <w:multiLevelType w:val="hybridMultilevel"/>
    <w:tmpl w:val="2574328A"/>
    <w:lvl w:ilvl="0" w:tplc="254A0A7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1063"/>
    <w:multiLevelType w:val="hybridMultilevel"/>
    <w:tmpl w:val="FD788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2D670147"/>
    <w:multiLevelType w:val="hybridMultilevel"/>
    <w:tmpl w:val="5E7AC4A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3371A3"/>
    <w:multiLevelType w:val="hybridMultilevel"/>
    <w:tmpl w:val="AEF0A61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7F09AB"/>
    <w:multiLevelType w:val="hybridMultilevel"/>
    <w:tmpl w:val="2C0C34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135DB"/>
    <w:multiLevelType w:val="hybridMultilevel"/>
    <w:tmpl w:val="80D87A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635807"/>
    <w:multiLevelType w:val="multilevel"/>
    <w:tmpl w:val="88E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62E64"/>
    <w:multiLevelType w:val="hybridMultilevel"/>
    <w:tmpl w:val="EAB6E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C249EB"/>
    <w:multiLevelType w:val="hybridMultilevel"/>
    <w:tmpl w:val="FE2EC4C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211786"/>
    <w:multiLevelType w:val="hybridMultilevel"/>
    <w:tmpl w:val="5824C5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1316D"/>
    <w:multiLevelType w:val="hybridMultilevel"/>
    <w:tmpl w:val="D44881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262513"/>
    <w:multiLevelType w:val="hybridMultilevel"/>
    <w:tmpl w:val="EC8663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C2013"/>
    <w:multiLevelType w:val="hybridMultilevel"/>
    <w:tmpl w:val="23DE3E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157501"/>
    <w:multiLevelType w:val="hybridMultilevel"/>
    <w:tmpl w:val="EA28B72A"/>
    <w:lvl w:ilvl="0" w:tplc="E858F4E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6"/>
  </w:num>
  <w:num w:numId="9">
    <w:abstractNumId w:val="11"/>
  </w:num>
  <w:num w:numId="10">
    <w:abstractNumId w:val="4"/>
  </w:num>
  <w:num w:numId="11">
    <w:abstractNumId w:val="5"/>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
  </w:num>
  <w:num w:numId="16">
    <w:abstractNumId w:val="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B8"/>
    <w:rsid w:val="00011F93"/>
    <w:rsid w:val="000B690D"/>
    <w:rsid w:val="000E122B"/>
    <w:rsid w:val="00116AB8"/>
    <w:rsid w:val="00203316"/>
    <w:rsid w:val="002567C5"/>
    <w:rsid w:val="0026128F"/>
    <w:rsid w:val="002E4A76"/>
    <w:rsid w:val="0030599F"/>
    <w:rsid w:val="003227AE"/>
    <w:rsid w:val="00323401"/>
    <w:rsid w:val="0037641E"/>
    <w:rsid w:val="003C3331"/>
    <w:rsid w:val="003F42B9"/>
    <w:rsid w:val="00403CF8"/>
    <w:rsid w:val="00406D7E"/>
    <w:rsid w:val="00437C94"/>
    <w:rsid w:val="004530BE"/>
    <w:rsid w:val="00537A49"/>
    <w:rsid w:val="00555A0E"/>
    <w:rsid w:val="006C19C3"/>
    <w:rsid w:val="00731842"/>
    <w:rsid w:val="007C0833"/>
    <w:rsid w:val="0085666F"/>
    <w:rsid w:val="00870D64"/>
    <w:rsid w:val="00913D0C"/>
    <w:rsid w:val="00934116"/>
    <w:rsid w:val="009A0373"/>
    <w:rsid w:val="009F6D91"/>
    <w:rsid w:val="00A142C8"/>
    <w:rsid w:val="00A3579F"/>
    <w:rsid w:val="00A43271"/>
    <w:rsid w:val="00A6563A"/>
    <w:rsid w:val="00A70283"/>
    <w:rsid w:val="00A818B1"/>
    <w:rsid w:val="00A960B6"/>
    <w:rsid w:val="00AB20C8"/>
    <w:rsid w:val="00AF5506"/>
    <w:rsid w:val="00B46A0A"/>
    <w:rsid w:val="00B517F1"/>
    <w:rsid w:val="00B74AC4"/>
    <w:rsid w:val="00BE4DED"/>
    <w:rsid w:val="00CB7C55"/>
    <w:rsid w:val="00CF4382"/>
    <w:rsid w:val="00D760C1"/>
    <w:rsid w:val="00DE7D39"/>
    <w:rsid w:val="00DF2727"/>
    <w:rsid w:val="00DF2812"/>
    <w:rsid w:val="00E30528"/>
    <w:rsid w:val="00E36A1E"/>
    <w:rsid w:val="00E61034"/>
    <w:rsid w:val="00E72706"/>
    <w:rsid w:val="00F51D0B"/>
    <w:rsid w:val="00FC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04F8A-5AA3-4B8D-9F59-C0E63D09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AB8"/>
    <w:rPr>
      <w:rFonts w:ascii="Tahoma" w:hAnsi="Tahoma" w:cs="Tahoma"/>
      <w:sz w:val="16"/>
      <w:szCs w:val="16"/>
    </w:rPr>
  </w:style>
  <w:style w:type="character" w:customStyle="1" w:styleId="xdtextbox1">
    <w:name w:val="xdtextbox1"/>
    <w:basedOn w:val="DefaultParagraphFont"/>
    <w:rsid w:val="00A960B6"/>
    <w:rPr>
      <w:color w:val="auto"/>
      <w:bdr w:val="single" w:sz="8" w:space="1" w:color="DCDCDC" w:frame="1"/>
      <w:shd w:val="clear" w:color="auto" w:fill="FFFFFF"/>
    </w:rPr>
  </w:style>
  <w:style w:type="paragraph" w:styleId="ListParagraph">
    <w:name w:val="List Paragraph"/>
    <w:basedOn w:val="Normal"/>
    <w:uiPriority w:val="34"/>
    <w:qFormat/>
    <w:rsid w:val="00FC108F"/>
    <w:pPr>
      <w:ind w:left="720"/>
      <w:contextualSpacing/>
    </w:pPr>
  </w:style>
  <w:style w:type="paragraph" w:styleId="Header">
    <w:name w:val="header"/>
    <w:basedOn w:val="Normal"/>
    <w:link w:val="HeaderChar"/>
    <w:uiPriority w:val="99"/>
    <w:unhideWhenUsed/>
    <w:rsid w:val="00A65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63A"/>
  </w:style>
  <w:style w:type="paragraph" w:styleId="Footer">
    <w:name w:val="footer"/>
    <w:basedOn w:val="Normal"/>
    <w:link w:val="FooterChar"/>
    <w:uiPriority w:val="99"/>
    <w:unhideWhenUsed/>
    <w:rsid w:val="00A6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63A"/>
  </w:style>
  <w:style w:type="character" w:styleId="CommentReference">
    <w:name w:val="annotation reference"/>
    <w:basedOn w:val="DefaultParagraphFont"/>
    <w:uiPriority w:val="99"/>
    <w:semiHidden/>
    <w:unhideWhenUsed/>
    <w:rsid w:val="00DE7D39"/>
    <w:rPr>
      <w:sz w:val="16"/>
      <w:szCs w:val="16"/>
    </w:rPr>
  </w:style>
  <w:style w:type="paragraph" w:styleId="CommentText">
    <w:name w:val="annotation text"/>
    <w:basedOn w:val="Normal"/>
    <w:link w:val="CommentTextChar"/>
    <w:uiPriority w:val="99"/>
    <w:semiHidden/>
    <w:unhideWhenUsed/>
    <w:rsid w:val="00DE7D39"/>
    <w:pPr>
      <w:spacing w:line="240" w:lineRule="auto"/>
    </w:pPr>
    <w:rPr>
      <w:sz w:val="20"/>
      <w:szCs w:val="20"/>
    </w:rPr>
  </w:style>
  <w:style w:type="character" w:customStyle="1" w:styleId="CommentTextChar">
    <w:name w:val="Comment Text Char"/>
    <w:basedOn w:val="DefaultParagraphFont"/>
    <w:link w:val="CommentText"/>
    <w:uiPriority w:val="99"/>
    <w:semiHidden/>
    <w:rsid w:val="00DE7D39"/>
    <w:rPr>
      <w:sz w:val="20"/>
      <w:szCs w:val="20"/>
    </w:rPr>
  </w:style>
  <w:style w:type="paragraph" w:styleId="CommentSubject">
    <w:name w:val="annotation subject"/>
    <w:basedOn w:val="CommentText"/>
    <w:next w:val="CommentText"/>
    <w:link w:val="CommentSubjectChar"/>
    <w:uiPriority w:val="99"/>
    <w:semiHidden/>
    <w:unhideWhenUsed/>
    <w:rsid w:val="00DE7D39"/>
    <w:rPr>
      <w:b/>
      <w:bCs/>
    </w:rPr>
  </w:style>
  <w:style w:type="character" w:customStyle="1" w:styleId="CommentSubjectChar">
    <w:name w:val="Comment Subject Char"/>
    <w:basedOn w:val="CommentTextChar"/>
    <w:link w:val="CommentSubject"/>
    <w:uiPriority w:val="99"/>
    <w:semiHidden/>
    <w:rsid w:val="00DE7D39"/>
    <w:rPr>
      <w:b/>
      <w:bCs/>
      <w:sz w:val="20"/>
      <w:szCs w:val="20"/>
    </w:rPr>
  </w:style>
  <w:style w:type="character" w:styleId="Hyperlink">
    <w:name w:val="Hyperlink"/>
    <w:basedOn w:val="DefaultParagraphFont"/>
    <w:uiPriority w:val="99"/>
    <w:unhideWhenUsed/>
    <w:rsid w:val="00305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31048">
      <w:bodyDiv w:val="1"/>
      <w:marLeft w:val="0"/>
      <w:marRight w:val="0"/>
      <w:marTop w:val="0"/>
      <w:marBottom w:val="0"/>
      <w:divBdr>
        <w:top w:val="none" w:sz="0" w:space="0" w:color="auto"/>
        <w:left w:val="none" w:sz="0" w:space="0" w:color="auto"/>
        <w:bottom w:val="none" w:sz="0" w:space="0" w:color="auto"/>
        <w:right w:val="none" w:sz="0" w:space="0" w:color="auto"/>
      </w:divBdr>
    </w:div>
    <w:div w:id="1209150705">
      <w:bodyDiv w:val="1"/>
      <w:marLeft w:val="0"/>
      <w:marRight w:val="0"/>
      <w:marTop w:val="0"/>
      <w:marBottom w:val="0"/>
      <w:divBdr>
        <w:top w:val="none" w:sz="0" w:space="0" w:color="auto"/>
        <w:left w:val="none" w:sz="0" w:space="0" w:color="auto"/>
        <w:bottom w:val="none" w:sz="0" w:space="0" w:color="auto"/>
        <w:right w:val="none" w:sz="0" w:space="0" w:color="auto"/>
      </w:divBdr>
    </w:div>
    <w:div w:id="15794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fbinet.fbi/DO/OPA/SealsLogos/OTDlogo.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52D15-79BB-4719-A128-BC237765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gmseubert</dc:creator>
  <cp:lastModifiedBy>Newcomer, Brenda L. (OTD) (FBI)</cp:lastModifiedBy>
  <cp:revision>3</cp:revision>
  <cp:lastPrinted>2014-03-24T22:26:00Z</cp:lastPrinted>
  <dcterms:created xsi:type="dcterms:W3CDTF">2018-02-21T21:24:00Z</dcterms:created>
  <dcterms:modified xsi:type="dcterms:W3CDTF">2018-02-21T22:44:00Z</dcterms:modified>
</cp:coreProperties>
</file>